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FF3" w:rsidRPr="00C34BB4" w:rsidRDefault="005D0FF3">
      <w:pPr>
        <w:rPr>
          <w:rFonts w:ascii="Century Gothic" w:hAnsi="Century Gothic"/>
          <w:sz w:val="20"/>
          <w:szCs w:val="20"/>
        </w:rPr>
      </w:pPr>
      <w:bookmarkStart w:id="0" w:name="_gjdgxs" w:colFirst="0" w:colLast="0"/>
      <w:bookmarkEnd w:id="0"/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5172"/>
        <w:gridCol w:w="5173"/>
      </w:tblGrid>
      <w:tr w:rsidR="005D0FF3" w:rsidRPr="00C34BB4" w:rsidTr="00E266CC">
        <w:trPr>
          <w:trHeight w:val="341"/>
        </w:trPr>
        <w:tc>
          <w:tcPr>
            <w:tcW w:w="2605" w:type="dxa"/>
          </w:tcPr>
          <w:p w:rsidR="005D0FF3" w:rsidRPr="00FF6818" w:rsidRDefault="00BF43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VAK EN GRAAD</w:t>
            </w:r>
          </w:p>
        </w:tc>
        <w:tc>
          <w:tcPr>
            <w:tcW w:w="10345" w:type="dxa"/>
            <w:gridSpan w:val="2"/>
          </w:tcPr>
          <w:p w:rsidR="005D0FF3" w:rsidRPr="00FF6818" w:rsidRDefault="0049178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 xml:space="preserve">EKONOMIE GRAAD 11 </w:t>
            </w:r>
          </w:p>
        </w:tc>
      </w:tr>
      <w:tr w:rsidR="005D0FF3" w:rsidRPr="00C34BB4" w:rsidTr="00E266CC">
        <w:trPr>
          <w:trHeight w:val="350"/>
        </w:trPr>
        <w:tc>
          <w:tcPr>
            <w:tcW w:w="2605" w:type="dxa"/>
          </w:tcPr>
          <w:p w:rsidR="005D0FF3" w:rsidRPr="00FF6818" w:rsidRDefault="0049178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KWARTAAL 2</w:t>
            </w:r>
          </w:p>
        </w:tc>
        <w:tc>
          <w:tcPr>
            <w:tcW w:w="10345" w:type="dxa"/>
            <w:gridSpan w:val="2"/>
          </w:tcPr>
          <w:p w:rsidR="005D0FF3" w:rsidRPr="00FF6818" w:rsidRDefault="00491787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i/>
                <w:sz w:val="20"/>
                <w:szCs w:val="20"/>
              </w:rPr>
              <w:t>4 LESSE</w:t>
            </w:r>
            <w:r w:rsidR="000C280A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, </w:t>
            </w:r>
            <w:r w:rsidR="000C280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Weke</w:t>
            </w:r>
            <w:r w:rsidR="000C280A" w:rsidRPr="000C280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1 </w:t>
            </w:r>
            <w:r w:rsidR="000C280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en</w:t>
            </w:r>
            <w:r w:rsidR="000C280A" w:rsidRPr="000C280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2 -</w:t>
            </w:r>
            <w:r w:rsidR="000C280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Kwartaal</w:t>
            </w:r>
            <w:r w:rsidR="000C280A" w:rsidRPr="000C280A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2</w:t>
            </w:r>
            <w:r w:rsidR="000C280A" w:rsidRPr="000C280A">
              <w:rPr>
                <w:rFonts w:ascii="Century Gothic" w:hAnsi="Century Gothic"/>
                <w:b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D0FF3" w:rsidRPr="00C34BB4" w:rsidTr="00E266CC">
        <w:trPr>
          <w:trHeight w:val="368"/>
        </w:trPr>
        <w:tc>
          <w:tcPr>
            <w:tcW w:w="2605" w:type="dxa"/>
          </w:tcPr>
          <w:p w:rsidR="005D0FF3" w:rsidRPr="00FF6818" w:rsidRDefault="0049178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ONDERWERP</w:t>
            </w:r>
          </w:p>
        </w:tc>
        <w:tc>
          <w:tcPr>
            <w:tcW w:w="10345" w:type="dxa"/>
            <w:gridSpan w:val="2"/>
          </w:tcPr>
          <w:p w:rsidR="005D0FF3" w:rsidRPr="00FF6818" w:rsidRDefault="0049178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DINAMIKA VAN MARKTE</w:t>
            </w:r>
          </w:p>
        </w:tc>
      </w:tr>
      <w:tr w:rsidR="005D0FF3" w:rsidRPr="00C34BB4" w:rsidTr="004D0FB9">
        <w:trPr>
          <w:trHeight w:val="332"/>
        </w:trPr>
        <w:tc>
          <w:tcPr>
            <w:tcW w:w="2605" w:type="dxa"/>
          </w:tcPr>
          <w:p w:rsidR="005D0FF3" w:rsidRPr="00FF6818" w:rsidRDefault="00BF43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DOEL VAN LES</w:t>
            </w:r>
          </w:p>
        </w:tc>
        <w:tc>
          <w:tcPr>
            <w:tcW w:w="10345" w:type="dxa"/>
            <w:gridSpan w:val="2"/>
          </w:tcPr>
          <w:p w:rsidR="005D0FF3" w:rsidRPr="00FF6818" w:rsidRDefault="00FF68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 xml:space="preserve">Analise van die verhoudings tussen markte / identifiseer voordele en nadele van elke struktuur. </w:t>
            </w:r>
          </w:p>
        </w:tc>
      </w:tr>
      <w:tr w:rsidR="005D0FF3" w:rsidRPr="00C34BB4" w:rsidTr="00935AD6">
        <w:trPr>
          <w:trHeight w:val="296"/>
        </w:trPr>
        <w:tc>
          <w:tcPr>
            <w:tcW w:w="2605" w:type="dxa"/>
          </w:tcPr>
          <w:p w:rsidR="005D0FF3" w:rsidRPr="00FF6818" w:rsidRDefault="0049178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INLEIDING</w:t>
            </w:r>
          </w:p>
        </w:tc>
        <w:tc>
          <w:tcPr>
            <w:tcW w:w="10345" w:type="dxa"/>
            <w:gridSpan w:val="2"/>
          </w:tcPr>
          <w:p w:rsidR="005D0FF3" w:rsidRPr="00FF6818" w:rsidRDefault="00FF6818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i/>
                <w:sz w:val="20"/>
                <w:szCs w:val="20"/>
              </w:rPr>
              <w:t>Hersien graad 10-inhoud ten opsigte van dinamika van markte.</w:t>
            </w:r>
          </w:p>
        </w:tc>
      </w:tr>
      <w:tr w:rsidR="005D0FF3" w:rsidRPr="00C34BB4">
        <w:tc>
          <w:tcPr>
            <w:tcW w:w="2605" w:type="dxa"/>
          </w:tcPr>
          <w:p w:rsidR="005D0FF3" w:rsidRPr="00FF6818" w:rsidRDefault="0049178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KONSEPTE EN VAARDIGHEDE</w:t>
            </w:r>
          </w:p>
        </w:tc>
        <w:tc>
          <w:tcPr>
            <w:tcW w:w="10345" w:type="dxa"/>
            <w:gridSpan w:val="2"/>
          </w:tcPr>
          <w:p w:rsidR="005D0FF3" w:rsidRPr="00C34BB4" w:rsidRDefault="0049178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4BB4">
              <w:rPr>
                <w:rFonts w:ascii="Century Gothic" w:hAnsi="Century Gothic"/>
                <w:b/>
                <w:i/>
                <w:sz w:val="20"/>
                <w:szCs w:val="20"/>
              </w:rPr>
              <w:t>Sleutelwoorde:</w:t>
            </w:r>
            <w:r w:rsidRPr="00C34BB4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  <w:p w:rsidR="005D0FF3" w:rsidRPr="00C34BB4" w:rsidRDefault="00B47B3F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‘n Mark, markstruktuur, m</w:t>
            </w:r>
            <w:r w:rsidR="00491787" w:rsidRPr="00C34BB4">
              <w:rPr>
                <w:rFonts w:ascii="Century Gothic" w:hAnsi="Century Gothic"/>
                <w:i/>
                <w:sz w:val="20"/>
                <w:szCs w:val="20"/>
              </w:rPr>
              <w:t xml:space="preserve">arkaandeel; prysnemer; inflasie; </w:t>
            </w:r>
            <w:r w:rsidR="00FB72CE" w:rsidRPr="00C34BB4">
              <w:rPr>
                <w:rFonts w:ascii="Century Gothic" w:hAnsi="Century Gothic"/>
                <w:i/>
                <w:sz w:val="20"/>
                <w:szCs w:val="20"/>
              </w:rPr>
              <w:t>h</w:t>
            </w:r>
            <w:r w:rsidR="00491787" w:rsidRPr="00C34BB4">
              <w:rPr>
                <w:rFonts w:ascii="Century Gothic" w:hAnsi="Century Gothic"/>
                <w:i/>
                <w:sz w:val="20"/>
                <w:szCs w:val="20"/>
              </w:rPr>
              <w:t xml:space="preserve">eterogene produk; </w:t>
            </w:r>
            <w:r w:rsidR="00FB72CE" w:rsidRPr="00C34BB4">
              <w:rPr>
                <w:rFonts w:ascii="Century Gothic" w:hAnsi="Century Gothic"/>
                <w:i/>
                <w:sz w:val="20"/>
                <w:szCs w:val="20"/>
              </w:rPr>
              <w:t>g</w:t>
            </w:r>
            <w:r w:rsidR="00491787" w:rsidRPr="00C34BB4">
              <w:rPr>
                <w:rFonts w:ascii="Century Gothic" w:hAnsi="Century Gothic"/>
                <w:i/>
                <w:sz w:val="20"/>
                <w:szCs w:val="20"/>
              </w:rPr>
              <w:t xml:space="preserve">edifferensieerde produk; </w:t>
            </w:r>
            <w:r w:rsidR="00FB72CE" w:rsidRPr="00C34BB4">
              <w:rPr>
                <w:rFonts w:ascii="Century Gothic" w:hAnsi="Century Gothic"/>
                <w:i/>
                <w:sz w:val="20"/>
                <w:szCs w:val="20"/>
              </w:rPr>
              <w:t>v</w:t>
            </w:r>
            <w:r w:rsidR="00491787" w:rsidRPr="00C34BB4">
              <w:rPr>
                <w:rFonts w:ascii="Century Gothic" w:hAnsi="Century Gothic"/>
                <w:i/>
                <w:sz w:val="20"/>
                <w:szCs w:val="20"/>
              </w:rPr>
              <w:t xml:space="preserve">oorkeurbehandeling; ongereguleerde markte; tegnologiese superioriteit; kartelle; </w:t>
            </w:r>
            <w:r w:rsidR="00FB72CE" w:rsidRPr="00C34BB4">
              <w:rPr>
                <w:rFonts w:ascii="Century Gothic" w:hAnsi="Century Gothic"/>
                <w:i/>
                <w:sz w:val="20"/>
                <w:szCs w:val="20"/>
              </w:rPr>
              <w:t>h</w:t>
            </w:r>
            <w:r w:rsidR="00491787" w:rsidRPr="00C34BB4">
              <w:rPr>
                <w:rFonts w:ascii="Century Gothic" w:hAnsi="Century Gothic"/>
                <w:i/>
                <w:sz w:val="20"/>
                <w:szCs w:val="20"/>
              </w:rPr>
              <w:t xml:space="preserve">ibriede struktuur; </w:t>
            </w:r>
            <w:r w:rsidR="00FB72CE" w:rsidRPr="00C34BB4">
              <w:rPr>
                <w:rFonts w:ascii="Century Gothic" w:hAnsi="Century Gothic"/>
                <w:i/>
                <w:sz w:val="20"/>
                <w:szCs w:val="20"/>
              </w:rPr>
              <w:t>s</w:t>
            </w:r>
            <w:r w:rsidR="00491787" w:rsidRPr="00C34BB4">
              <w:rPr>
                <w:rFonts w:ascii="Century Gothic" w:hAnsi="Century Gothic"/>
                <w:i/>
                <w:sz w:val="20"/>
                <w:szCs w:val="20"/>
              </w:rPr>
              <w:t>amespanning; monopolis</w:t>
            </w:r>
          </w:p>
          <w:p w:rsidR="005D0FF3" w:rsidRPr="00C34BB4" w:rsidRDefault="0049178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4BB4">
              <w:rPr>
                <w:rFonts w:ascii="Century Gothic" w:hAnsi="Century Gothic"/>
                <w:b/>
                <w:i/>
                <w:sz w:val="20"/>
                <w:szCs w:val="20"/>
              </w:rPr>
              <w:t>Sleutelvrae</w:t>
            </w:r>
            <w:r w:rsidRPr="00C34BB4">
              <w:rPr>
                <w:rFonts w:ascii="Century Gothic" w:hAnsi="Century Gothic"/>
                <w:i/>
                <w:sz w:val="20"/>
                <w:szCs w:val="20"/>
              </w:rPr>
              <w:t>: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Century Gothic" w:hAnsi="Century Gothic"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Wat is die verskil tussen </w:t>
            </w:r>
            <w:r w:rsidR="00FB72CE" w:rsidRPr="00B47B3F">
              <w:rPr>
                <w:rFonts w:ascii="Century Gothic" w:hAnsi="Century Gothic"/>
                <w:i/>
                <w:sz w:val="20"/>
                <w:szCs w:val="20"/>
              </w:rPr>
              <w:t>volmaakte</w:t>
            </w:r>
            <w:r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 en onvolmaakte markte?</w:t>
            </w:r>
          </w:p>
          <w:p w:rsidR="00E266CC" w:rsidRPr="004D0FB9" w:rsidRDefault="00491787" w:rsidP="004D0FB9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Century Gothic" w:hAnsi="Century Gothic"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Hoe beïnvloed </w:t>
            </w:r>
            <w:r w:rsidR="00FB72CE" w:rsidRPr="00B47B3F">
              <w:rPr>
                <w:rFonts w:ascii="Century Gothic" w:hAnsi="Century Gothic"/>
                <w:i/>
                <w:sz w:val="20"/>
                <w:szCs w:val="20"/>
              </w:rPr>
              <w:t>hierdie markte</w:t>
            </w:r>
            <w:r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 prys en produksie?</w:t>
            </w:r>
          </w:p>
        </w:tc>
      </w:tr>
      <w:tr w:rsidR="005D0FF3" w:rsidRPr="00C34BB4">
        <w:tc>
          <w:tcPr>
            <w:tcW w:w="2605" w:type="dxa"/>
          </w:tcPr>
          <w:p w:rsidR="005D0FF3" w:rsidRPr="00FF6818" w:rsidRDefault="0049178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AKTIWITEITE / ASSESSERING</w:t>
            </w:r>
          </w:p>
        </w:tc>
        <w:tc>
          <w:tcPr>
            <w:tcW w:w="10345" w:type="dxa"/>
            <w:gridSpan w:val="2"/>
          </w:tcPr>
          <w:p w:rsidR="005D0FF3" w:rsidRPr="00C34BB4" w:rsidRDefault="0049178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4BB4">
              <w:rPr>
                <w:rFonts w:ascii="Century Gothic" w:hAnsi="Century Gothic"/>
                <w:i/>
                <w:sz w:val="20"/>
                <w:szCs w:val="20"/>
              </w:rPr>
              <w:t xml:space="preserve">Raadpleeg die hoofstuk oor markstrukture in </w:t>
            </w:r>
            <w:r w:rsidR="00FB72CE" w:rsidRPr="00C34BB4">
              <w:rPr>
                <w:rFonts w:ascii="Century Gothic" w:hAnsi="Century Gothic"/>
                <w:i/>
                <w:sz w:val="20"/>
                <w:szCs w:val="20"/>
              </w:rPr>
              <w:t>jou handboek</w:t>
            </w:r>
            <w:r w:rsidRPr="00C34BB4">
              <w:rPr>
                <w:rFonts w:ascii="Century Gothic" w:hAnsi="Century Gothic"/>
                <w:i/>
                <w:sz w:val="20"/>
                <w:szCs w:val="20"/>
              </w:rPr>
              <w:t xml:space="preserve"> of kernnotas.</w:t>
            </w:r>
            <w:r w:rsidR="004D0FB9">
              <w:rPr>
                <w:rFonts w:ascii="Century Gothic" w:hAnsi="Century Gothic"/>
                <w:i/>
                <w:sz w:val="20"/>
                <w:szCs w:val="20"/>
              </w:rPr>
              <w:t xml:space="preserve"> (Kernnotas: Topic 5, bladsy 7 – 18.)</w:t>
            </w:r>
          </w:p>
          <w:p w:rsidR="005D0FF3" w:rsidRPr="00C34BB4" w:rsidRDefault="00B47B3F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Jou lesse is soos volg verdeel</w:t>
            </w:r>
            <w:r w:rsidR="00491787" w:rsidRPr="00C34BB4">
              <w:rPr>
                <w:rFonts w:ascii="Century Gothic" w:hAnsi="Century Gothic"/>
                <w:i/>
                <w:sz w:val="20"/>
                <w:szCs w:val="20"/>
              </w:rPr>
              <w:t>: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4"/>
              </w:numPr>
              <w:ind w:left="790"/>
              <w:rPr>
                <w:rFonts w:ascii="Century Gothic" w:hAnsi="Century Gothic"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Les 1: </w:t>
            </w:r>
            <w:r w:rsidR="00FB72CE" w:rsidRPr="00B47B3F">
              <w:rPr>
                <w:rFonts w:ascii="Century Gothic" w:hAnsi="Century Gothic"/>
                <w:i/>
                <w:sz w:val="20"/>
                <w:szCs w:val="20"/>
              </w:rPr>
              <w:t>Volmaakte</w:t>
            </w:r>
            <w:r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="00FB72CE" w:rsidRPr="00B47B3F">
              <w:rPr>
                <w:rFonts w:ascii="Century Gothic" w:hAnsi="Century Gothic"/>
                <w:i/>
                <w:sz w:val="20"/>
                <w:szCs w:val="20"/>
              </w:rPr>
              <w:t>mededinging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4"/>
              </w:numPr>
              <w:ind w:left="790"/>
              <w:rPr>
                <w:rFonts w:ascii="Century Gothic" w:hAnsi="Century Gothic"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sz w:val="20"/>
                <w:szCs w:val="20"/>
              </w:rPr>
              <w:t>Les 2: Onvolmaakte markte</w:t>
            </w:r>
            <w:r w:rsidR="00BF43E4"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 - monopolie</w:t>
            </w:r>
            <w:bookmarkStart w:id="1" w:name="_GoBack"/>
            <w:bookmarkEnd w:id="1"/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4"/>
              </w:numPr>
              <w:ind w:left="790"/>
              <w:rPr>
                <w:rFonts w:ascii="Century Gothic" w:hAnsi="Century Gothic"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Les 3: </w:t>
            </w:r>
            <w:r w:rsidR="00BF43E4" w:rsidRPr="00B47B3F">
              <w:rPr>
                <w:rFonts w:ascii="Century Gothic" w:hAnsi="Century Gothic"/>
                <w:i/>
                <w:sz w:val="20"/>
                <w:szCs w:val="20"/>
              </w:rPr>
              <w:t>Onvolmaakte markte - o</w:t>
            </w:r>
            <w:r w:rsidRPr="00B47B3F">
              <w:rPr>
                <w:rFonts w:ascii="Century Gothic" w:hAnsi="Century Gothic"/>
                <w:i/>
                <w:sz w:val="20"/>
                <w:szCs w:val="20"/>
              </w:rPr>
              <w:t>ligopolie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4"/>
              </w:numPr>
              <w:ind w:left="790"/>
              <w:rPr>
                <w:rFonts w:ascii="Century Gothic" w:hAnsi="Century Gothic"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Les 4: </w:t>
            </w:r>
            <w:r w:rsidR="00BF43E4" w:rsidRPr="00B47B3F">
              <w:rPr>
                <w:rFonts w:ascii="Century Gothic" w:hAnsi="Century Gothic"/>
                <w:i/>
                <w:sz w:val="20"/>
                <w:szCs w:val="20"/>
              </w:rPr>
              <w:t>Onvolmaakte markte - m</w:t>
            </w:r>
            <w:r w:rsidRPr="00B47B3F">
              <w:rPr>
                <w:rFonts w:ascii="Century Gothic" w:hAnsi="Century Gothic"/>
                <w:i/>
                <w:sz w:val="20"/>
                <w:szCs w:val="20"/>
              </w:rPr>
              <w:t xml:space="preserve">onopolistiese </w:t>
            </w:r>
            <w:r w:rsidR="00FB72CE" w:rsidRPr="00B47B3F">
              <w:rPr>
                <w:rFonts w:ascii="Century Gothic" w:hAnsi="Century Gothic"/>
                <w:i/>
                <w:sz w:val="20"/>
                <w:szCs w:val="20"/>
              </w:rPr>
              <w:t>mededinging</w:t>
            </w:r>
          </w:p>
          <w:p w:rsidR="005D0FF3" w:rsidRPr="00C34BB4" w:rsidRDefault="005D0FF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5D0FF3" w:rsidRPr="00C34BB4">
        <w:tc>
          <w:tcPr>
            <w:tcW w:w="2605" w:type="dxa"/>
          </w:tcPr>
          <w:p w:rsidR="005D0FF3" w:rsidRPr="00FF6818" w:rsidRDefault="00491787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KONSOLIDASIE</w:t>
            </w:r>
          </w:p>
          <w:p w:rsidR="005D0FF3" w:rsidRPr="00FF6818" w:rsidRDefault="0049178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6818">
              <w:rPr>
                <w:rFonts w:ascii="Century Gothic" w:hAnsi="Century Gothic"/>
                <w:b/>
                <w:sz w:val="20"/>
                <w:szCs w:val="20"/>
              </w:rPr>
              <w:t>VRAE</w:t>
            </w:r>
          </w:p>
        </w:tc>
        <w:tc>
          <w:tcPr>
            <w:tcW w:w="10345" w:type="dxa"/>
            <w:gridSpan w:val="2"/>
          </w:tcPr>
          <w:p w:rsidR="00B47B3F" w:rsidRPr="00B47B3F" w:rsidRDefault="00B47B3F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Lees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die gedeelte oor </w:t>
            </w:r>
            <w:r w:rsidR="008F2B78">
              <w:rPr>
                <w:rFonts w:ascii="Century Gothic" w:hAnsi="Century Gothic"/>
                <w:b/>
                <w:i/>
                <w:sz w:val="20"/>
                <w:szCs w:val="20"/>
              </w:rPr>
              <w:t>V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olmaakte markte in jou handboek / kernnotas (Onderwerp </w:t>
            </w:r>
            <w:r w:rsidR="00A44444">
              <w:rPr>
                <w:rFonts w:ascii="Century Gothic" w:hAnsi="Century Gothic"/>
                <w:b/>
                <w:i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, bladsy 8)</w:t>
            </w: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en beantwoord die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onderstaande </w:t>
            </w: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>vrae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.</w:t>
            </w:r>
          </w:p>
          <w:p w:rsidR="00B47B3F" w:rsidRDefault="00B47B3F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0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5D0FF3" w:rsidRPr="00C34BB4" w:rsidRDefault="00491787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0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C34BB4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Les 1: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(Koring / Fanta) is 'n homogene produk.</w:t>
            </w:r>
          </w:p>
          <w:p w:rsidR="005D0FF3" w:rsidRPr="00B47B3F" w:rsidRDefault="00867AFE" w:rsidP="00B47B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Beskryf kortliks die begrip</w:t>
            </w:r>
            <w:r w:rsidR="00491787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samespanning.</w:t>
            </w:r>
          </w:p>
          <w:p w:rsidR="005D0FF3" w:rsidRPr="00B47B3F" w:rsidRDefault="00FB72CE" w:rsidP="00B47B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‘n</w:t>
            </w:r>
            <w:r w:rsidR="00491787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</w:t>
            </w:r>
            <w:r w:rsidR="00BF43E4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V</w:t>
            </w: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olmaakte</w:t>
            </w:r>
            <w:r w:rsidR="00491787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</w:t>
            </w:r>
            <w:r w:rsidR="00BF43E4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mededinger is 'n prysnemer. Van</w:t>
            </w:r>
            <w:r w:rsidR="00491787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waar neem hy / sy die prys?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Wat maak dit onmoontlik vir 'n individuele produsent in volmaakte </w:t>
            </w:r>
            <w:r w:rsidR="00FB72CE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mededinging</w:t>
            </w: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om op </w:t>
            </w:r>
            <w:r w:rsidR="00FB72CE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die lang</w:t>
            </w: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termyn 'n ekonomiese wins te maak?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Hoe is nie-prysmededinging 'n voordeel vir 'n </w:t>
            </w:r>
            <w:r w:rsidR="00FB72CE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volmaakte</w:t>
            </w: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mededinger?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Waarom is die vraagkromme vir 'n </w:t>
            </w:r>
            <w:r w:rsidR="00FB72CE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volmaakte</w:t>
            </w: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mededinger horisontaal?</w:t>
            </w:r>
          </w:p>
          <w:p w:rsidR="00B47B3F" w:rsidRDefault="00B47B3F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lastRenderedPageBreak/>
              <w:t xml:space="preserve">Lees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die gedeelte oor </w:t>
            </w:r>
            <w:r w:rsidR="008F2B78">
              <w:rPr>
                <w:rFonts w:ascii="Century Gothic" w:hAnsi="Century Gothic"/>
                <w:b/>
                <w:i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nvolmaakte markte: monopolie in jou handboek/notas (Onderwerp </w:t>
            </w:r>
            <w:r w:rsidR="00A44444">
              <w:rPr>
                <w:rFonts w:ascii="Century Gothic" w:hAnsi="Century Gothic"/>
                <w:b/>
                <w:i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, bladsy 11)</w:t>
            </w: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en beantwoord die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onderstaande </w:t>
            </w: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>vrae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.</w:t>
            </w:r>
          </w:p>
          <w:p w:rsidR="00B47B3F" w:rsidRDefault="00B47B3F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D0FF3" w:rsidRPr="00C34BB4" w:rsidRDefault="00491787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C34BB4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Les 2: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Wat maak dit vir 'n monopolis moontlik om op die lange duur ekonomiese wins te maak?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Hoeveel ondernemings het 'n monopolie?</w:t>
            </w:r>
          </w:p>
          <w:p w:rsidR="005D0FF3" w:rsidRPr="00B47B3F" w:rsidRDefault="00491787" w:rsidP="00B47B3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Vergelyk Eskom se produksie met die produksie van die Suid-Afrikaanse elektrisiteitsbedryf. Motiveer </w:t>
            </w:r>
            <w:r w:rsid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jo</w:t>
            </w:r>
            <w:r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 antwoord.</w:t>
            </w:r>
          </w:p>
          <w:p w:rsidR="005D0FF3" w:rsidRPr="00B47B3F" w:rsidRDefault="00B47B3F" w:rsidP="00B47B3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Waarom loop d</w:t>
            </w:r>
            <w:r w:rsidR="00491787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ie vraagkromme </w:t>
            </w:r>
            <w:r w:rsidR="00026944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van</w:t>
            </w:r>
            <w:r w:rsidR="00491787" w:rsidRPr="00B47B3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'n monopolis </w:t>
            </w: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van links bo na regs onder?</w:t>
            </w:r>
          </w:p>
          <w:p w:rsidR="008F2B78" w:rsidRDefault="008F2B78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  <w:p w:rsidR="008F2B78" w:rsidRDefault="008F2B78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Lees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die gedeelte oor Onvolmaakte markte: oligopolie in jou handboek/notas (</w:t>
            </w:r>
            <w:r w:rsidR="00A44444">
              <w:rPr>
                <w:rFonts w:ascii="Century Gothic" w:hAnsi="Century Gothic"/>
                <w:b/>
                <w:i/>
                <w:sz w:val="20"/>
                <w:szCs w:val="20"/>
              </w:rPr>
              <w:t>Onderwerp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r w:rsidR="00A44444">
              <w:rPr>
                <w:rFonts w:ascii="Century Gothic" w:hAnsi="Century Gothic"/>
                <w:b/>
                <w:i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, bladsy 14)</w:t>
            </w: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en beantwoord die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onderstaande </w:t>
            </w: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>vrae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.</w:t>
            </w:r>
          </w:p>
          <w:p w:rsidR="008F2B78" w:rsidRDefault="008F2B78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D0FF3" w:rsidRPr="00C34BB4" w:rsidRDefault="00491787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34BB4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Les 3:</w:t>
            </w:r>
          </w:p>
          <w:p w:rsidR="005D0FF3" w:rsidRPr="008F2B78" w:rsidRDefault="00491787" w:rsidP="008F2B7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Die vraagkromme vir </w:t>
            </w:r>
            <w:r w:rsidR="00016716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E</w:t>
            </w:r>
            <w:r w:rsidR="00717685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erste 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N</w:t>
            </w:r>
            <w:r w:rsidR="00717685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asionale 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B</w:t>
            </w:r>
            <w:r w:rsidR="00717685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ank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is (horisontaal / </w:t>
            </w:r>
            <w:r w:rsidR="00717685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neig 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afwaarts / </w:t>
            </w:r>
            <w:r w:rsidR="00FB72CE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geknak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), want ......</w:t>
            </w:r>
          </w:p>
          <w:p w:rsidR="005D0FF3" w:rsidRPr="008F2B78" w:rsidRDefault="00491787" w:rsidP="008F2B7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Watter advies kan </w:t>
            </w:r>
            <w:r w:rsidR="00026944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jy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</w:t>
            </w:r>
            <w:r w:rsidR="00026944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aan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Nedbank </w:t>
            </w:r>
            <w:r w:rsidR="00026944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gee 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om hul markaandeel te vergroot?</w:t>
            </w:r>
          </w:p>
          <w:p w:rsidR="005D0FF3" w:rsidRPr="008F2B78" w:rsidRDefault="00491787" w:rsidP="008F2B7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Die waarskynlikste hindernis om met Cell C te wil meeding, is (kapitaal / lisensiëring / tegniese superioriteit).</w:t>
            </w:r>
          </w:p>
          <w:p w:rsidR="008F2B78" w:rsidRDefault="008F2B78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  <w:p w:rsidR="008F2B78" w:rsidRDefault="008F2B78" w:rsidP="008F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Lees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die gedeelte oor Onvolmaakte markte: monopolistiese mededinging in jou handboek/notas (</w:t>
            </w:r>
            <w:r w:rsidR="00A44444">
              <w:rPr>
                <w:rFonts w:ascii="Century Gothic" w:hAnsi="Century Gothic"/>
                <w:b/>
                <w:i/>
                <w:sz w:val="20"/>
                <w:szCs w:val="20"/>
              </w:rPr>
              <w:t>Onderwerp 5,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bladsy 16)</w:t>
            </w: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en beantwoord die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onderstaande </w:t>
            </w:r>
            <w:r w:rsidRPr="00B47B3F">
              <w:rPr>
                <w:rFonts w:ascii="Century Gothic" w:hAnsi="Century Gothic"/>
                <w:b/>
                <w:i/>
                <w:sz w:val="20"/>
                <w:szCs w:val="20"/>
              </w:rPr>
              <w:t>vrae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.</w:t>
            </w:r>
          </w:p>
          <w:p w:rsidR="008F2B78" w:rsidRDefault="008F2B78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  <w:p w:rsidR="005D0FF3" w:rsidRPr="00C34BB4" w:rsidRDefault="00491787" w:rsidP="00FB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C34BB4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Les 4:</w:t>
            </w:r>
          </w:p>
          <w:p w:rsidR="005D0FF3" w:rsidRPr="008F2B78" w:rsidRDefault="00491787" w:rsidP="008F2B7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Nando's is 'n voorbeeld van (monopolie / oligopolie / monopolistiese mededinging) omdat dit een van (baie / min)</w:t>
            </w:r>
            <w:r w:rsidR="00C34BB4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ondernemings is wat homogene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/ heteroge</w:t>
            </w:r>
            <w:r w:rsidR="00C34BB4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ne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) hoender</w:t>
            </w:r>
            <w:r w:rsidR="00C34BB4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maak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.</w:t>
            </w:r>
          </w:p>
          <w:p w:rsidR="005D0FF3" w:rsidRPr="008F2B78" w:rsidRDefault="00491787" w:rsidP="008F2B7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Die markstruktuur waarin NIKE val, is </w:t>
            </w:r>
            <w:r w:rsidR="00C34BB4"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hibried</w:t>
            </w: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. Noem die markstruktuur en verduidelik hierdie stelling.</w:t>
            </w:r>
          </w:p>
          <w:p w:rsidR="005D0FF3" w:rsidRPr="008F2B78" w:rsidRDefault="00491787" w:rsidP="008F2B7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Die vraagkromme vir Capitec Bank is .....</w:t>
            </w:r>
          </w:p>
          <w:p w:rsidR="005D0FF3" w:rsidRPr="008F2B78" w:rsidRDefault="00491787" w:rsidP="008F2B7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8F2B7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Die vraagkurwe vir Edgars is ......</w:t>
            </w:r>
          </w:p>
        </w:tc>
      </w:tr>
      <w:tr w:rsidR="005D0FF3" w:rsidRPr="00C34BB4">
        <w:tc>
          <w:tcPr>
            <w:tcW w:w="2605" w:type="dxa"/>
            <w:vMerge w:val="restart"/>
          </w:tcPr>
          <w:p w:rsidR="005D0FF3" w:rsidRPr="00C34BB4" w:rsidRDefault="00491787">
            <w:pPr>
              <w:rPr>
                <w:rFonts w:ascii="Century Gothic" w:hAnsi="Century Gothic"/>
                <w:sz w:val="20"/>
                <w:szCs w:val="20"/>
              </w:rPr>
            </w:pPr>
            <w:r w:rsidRPr="00C34BB4">
              <w:rPr>
                <w:rFonts w:ascii="Century Gothic" w:hAnsi="Century Gothic"/>
                <w:sz w:val="20"/>
                <w:szCs w:val="20"/>
              </w:rPr>
              <w:lastRenderedPageBreak/>
              <w:t xml:space="preserve">HULPBRONNE </w:t>
            </w:r>
            <w:r w:rsidRPr="00C34BB4">
              <w:rPr>
                <w:rFonts w:ascii="Century Gothic" w:hAnsi="Century Gothic"/>
                <w:i/>
                <w:sz w:val="20"/>
                <w:szCs w:val="20"/>
              </w:rPr>
              <w:t>(indien nodig)</w:t>
            </w:r>
          </w:p>
          <w:p w:rsidR="005D0FF3" w:rsidRPr="00C34BB4" w:rsidRDefault="005D0FF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0FF3" w:rsidRPr="00C34BB4" w:rsidRDefault="005D0F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D9D9D9"/>
          </w:tcPr>
          <w:p w:rsidR="005D0FF3" w:rsidRPr="00C34BB4" w:rsidRDefault="00AD3002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Gedrukte</w:t>
            </w:r>
            <w:r w:rsidR="00491787" w:rsidRPr="00C34BB4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bronne</w:t>
            </w:r>
          </w:p>
        </w:tc>
        <w:tc>
          <w:tcPr>
            <w:tcW w:w="5173" w:type="dxa"/>
            <w:shd w:val="clear" w:color="auto" w:fill="D9D9D9"/>
          </w:tcPr>
          <w:p w:rsidR="005D0FF3" w:rsidRPr="00C34BB4" w:rsidRDefault="00491787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34BB4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Digitale bronne </w:t>
            </w:r>
          </w:p>
        </w:tc>
      </w:tr>
      <w:tr w:rsidR="005D0FF3" w:rsidRPr="00C34BB4">
        <w:tc>
          <w:tcPr>
            <w:tcW w:w="2605" w:type="dxa"/>
            <w:vMerge/>
          </w:tcPr>
          <w:p w:rsidR="005D0FF3" w:rsidRPr="00C34BB4" w:rsidRDefault="005D0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5172" w:type="dxa"/>
          </w:tcPr>
          <w:p w:rsidR="00E266CC" w:rsidRDefault="00E266CC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Handboek: Volmaakte en onvolmaakte markte</w:t>
            </w:r>
          </w:p>
          <w:p w:rsidR="005D0FF3" w:rsidRPr="00C34BB4" w:rsidRDefault="00E266CC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K</w:t>
            </w:r>
            <w:r w:rsidR="00491787" w:rsidRPr="00C34BB4">
              <w:rPr>
                <w:rFonts w:ascii="Century Gothic" w:hAnsi="Century Gothic"/>
                <w:i/>
                <w:sz w:val="20"/>
                <w:szCs w:val="20"/>
              </w:rPr>
              <w:t>ernnotas</w:t>
            </w:r>
            <w:r w:rsidR="00A44444">
              <w:rPr>
                <w:rFonts w:ascii="Century Gothic" w:hAnsi="Century Gothic"/>
                <w:i/>
                <w:sz w:val="20"/>
                <w:szCs w:val="20"/>
              </w:rPr>
              <w:t xml:space="preserve"> (Onderwerp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5, bladsy 7-18) </w:t>
            </w:r>
          </w:p>
        </w:tc>
        <w:tc>
          <w:tcPr>
            <w:tcW w:w="5173" w:type="dxa"/>
          </w:tcPr>
          <w:p w:rsidR="00C34BB4" w:rsidRDefault="0094482C">
            <w:pPr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1001D3" w:rsidRPr="003D52F1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http://bit.ly/Gr11_Kwartaal2_Konsepte</w:t>
              </w:r>
            </w:hyperlink>
          </w:p>
          <w:p w:rsidR="00C34BB4" w:rsidRPr="00C34BB4" w:rsidRDefault="00D828A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730BD0" wp14:editId="4F4D6973">
                  <wp:extent cx="47625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FF3" w:rsidRPr="00C34BB4" w:rsidRDefault="00491787" w:rsidP="00B438A5">
      <w:pPr>
        <w:tabs>
          <w:tab w:val="left" w:pos="4680"/>
        </w:tabs>
        <w:rPr>
          <w:rFonts w:ascii="Century Gothic" w:hAnsi="Century Gothic"/>
          <w:i/>
          <w:sz w:val="20"/>
          <w:szCs w:val="20"/>
        </w:rPr>
      </w:pPr>
      <w:r w:rsidRPr="00C34BB4">
        <w:rPr>
          <w:rFonts w:ascii="Century Gothic" w:hAnsi="Century Gothic"/>
          <w:i/>
          <w:color w:val="FF0000"/>
          <w:sz w:val="20"/>
          <w:szCs w:val="20"/>
        </w:rPr>
        <w:lastRenderedPageBreak/>
        <w:t xml:space="preserve"> </w:t>
      </w:r>
      <w:r w:rsidRPr="00C34BB4">
        <w:rPr>
          <w:rFonts w:ascii="Century Gothic" w:hAnsi="Century Gothic"/>
          <w:i/>
          <w:sz w:val="20"/>
          <w:szCs w:val="20"/>
        </w:rPr>
        <w:t xml:space="preserve">Konsolidasie-aktiwiteit van alle </w:t>
      </w:r>
      <w:r w:rsidR="008F2B78">
        <w:rPr>
          <w:rFonts w:ascii="Century Gothic" w:hAnsi="Century Gothic"/>
          <w:i/>
          <w:sz w:val="20"/>
          <w:szCs w:val="20"/>
        </w:rPr>
        <w:t>mark</w:t>
      </w:r>
      <w:r w:rsidRPr="00C34BB4">
        <w:rPr>
          <w:rFonts w:ascii="Century Gothic" w:hAnsi="Century Gothic"/>
          <w:i/>
          <w:sz w:val="20"/>
          <w:szCs w:val="20"/>
        </w:rPr>
        <w:t>strukture.</w:t>
      </w:r>
    </w:p>
    <w:p w:rsidR="008F2B78" w:rsidRPr="008F2B78" w:rsidRDefault="00491787" w:rsidP="008F2B78">
      <w:pPr>
        <w:pStyle w:val="ListParagraph"/>
        <w:numPr>
          <w:ilvl w:val="0"/>
          <w:numId w:val="11"/>
        </w:numPr>
        <w:rPr>
          <w:rFonts w:ascii="Century Gothic" w:hAnsi="Century Gothic"/>
          <w:i/>
          <w:sz w:val="20"/>
          <w:szCs w:val="20"/>
        </w:rPr>
      </w:pPr>
      <w:r w:rsidRPr="008F2B78">
        <w:rPr>
          <w:rFonts w:ascii="Century Gothic" w:hAnsi="Century Gothic"/>
          <w:i/>
          <w:sz w:val="20"/>
          <w:szCs w:val="20"/>
        </w:rPr>
        <w:t>Dui aan of die volgende stellings waar of onwaar is</w:t>
      </w:r>
      <w:r w:rsidR="00867AFE">
        <w:rPr>
          <w:rFonts w:ascii="Century Gothic" w:hAnsi="Century Gothic"/>
          <w:i/>
          <w:sz w:val="20"/>
          <w:szCs w:val="20"/>
        </w:rPr>
        <w:t>.  Gee ‘n rede vir jou antwoord.</w:t>
      </w:r>
    </w:p>
    <w:p w:rsidR="008F2B78" w:rsidRPr="008F2B78" w:rsidRDefault="00C34BB4" w:rsidP="008F2B78">
      <w:pPr>
        <w:pStyle w:val="ListParagraph"/>
        <w:numPr>
          <w:ilvl w:val="1"/>
          <w:numId w:val="11"/>
        </w:numPr>
        <w:rPr>
          <w:rFonts w:ascii="Century Gothic" w:hAnsi="Century Gothic"/>
          <w:i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Volmaakte</w:t>
      </w:r>
      <w:r w:rsidR="00491787" w:rsidRPr="008F2B78">
        <w:rPr>
          <w:rFonts w:ascii="Century Gothic" w:hAnsi="Century Gothic"/>
          <w:color w:val="000000"/>
          <w:sz w:val="20"/>
          <w:szCs w:val="20"/>
        </w:rPr>
        <w:t xml:space="preserve"> markte maak dit vir verbruikers moontlik om produkte van die beste gehalte teen die laagste moontlike prys te kry.</w:t>
      </w:r>
    </w:p>
    <w:p w:rsidR="008F2B78" w:rsidRPr="008F2B78" w:rsidRDefault="00C34BB4" w:rsidP="008F2B78">
      <w:pPr>
        <w:pStyle w:val="ListParagraph"/>
        <w:numPr>
          <w:ilvl w:val="1"/>
          <w:numId w:val="11"/>
        </w:numPr>
        <w:rPr>
          <w:rFonts w:ascii="Century Gothic" w:hAnsi="Century Gothic"/>
          <w:i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Volmaakte</w:t>
      </w:r>
      <w:r w:rsidR="00491787" w:rsidRPr="008F2B78">
        <w:rPr>
          <w:rFonts w:ascii="Century Gothic" w:hAnsi="Century Gothic"/>
          <w:color w:val="000000"/>
          <w:sz w:val="20"/>
          <w:szCs w:val="20"/>
        </w:rPr>
        <w:t xml:space="preserve"> markte is wonderlik omdat verbruikers die geleentheid kry om tussen verskillende variëteite van dieselfde produk te kies.</w:t>
      </w:r>
    </w:p>
    <w:p w:rsidR="008F2B78" w:rsidRPr="008F2B78" w:rsidRDefault="00491787" w:rsidP="008F2B78">
      <w:pPr>
        <w:pStyle w:val="ListParagraph"/>
        <w:numPr>
          <w:ilvl w:val="1"/>
          <w:numId w:val="11"/>
        </w:numPr>
        <w:rPr>
          <w:rFonts w:ascii="Century Gothic" w:hAnsi="Century Gothic"/>
          <w:i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 xml:space="preserve">Die kenmerk van 'n monopolie is die vryheid van </w:t>
      </w:r>
      <w:r w:rsidR="00C34BB4" w:rsidRPr="008F2B78">
        <w:rPr>
          <w:rFonts w:ascii="Century Gothic" w:hAnsi="Century Gothic"/>
          <w:color w:val="000000"/>
          <w:sz w:val="20"/>
          <w:szCs w:val="20"/>
        </w:rPr>
        <w:t>toetrede</w:t>
      </w:r>
      <w:r w:rsidRPr="008F2B78">
        <w:rPr>
          <w:rFonts w:ascii="Century Gothic" w:hAnsi="Century Gothic"/>
          <w:color w:val="000000"/>
          <w:sz w:val="20"/>
          <w:szCs w:val="20"/>
        </w:rPr>
        <w:t xml:space="preserve"> en </w:t>
      </w:r>
      <w:r w:rsidR="00C34BB4" w:rsidRPr="008F2B78">
        <w:rPr>
          <w:rFonts w:ascii="Century Gothic" w:hAnsi="Century Gothic"/>
          <w:color w:val="000000"/>
          <w:sz w:val="20"/>
          <w:szCs w:val="20"/>
        </w:rPr>
        <w:t>uittrede</w:t>
      </w:r>
      <w:r w:rsidRPr="008F2B78">
        <w:rPr>
          <w:rFonts w:ascii="Century Gothic" w:hAnsi="Century Gothic"/>
          <w:color w:val="000000"/>
          <w:sz w:val="20"/>
          <w:szCs w:val="20"/>
        </w:rPr>
        <w:t>.</w:t>
      </w:r>
    </w:p>
    <w:p w:rsidR="008F2B78" w:rsidRPr="008F2B78" w:rsidRDefault="00C34BB4" w:rsidP="008F2B78">
      <w:pPr>
        <w:pStyle w:val="ListParagraph"/>
        <w:numPr>
          <w:ilvl w:val="1"/>
          <w:numId w:val="11"/>
        </w:numPr>
        <w:rPr>
          <w:rFonts w:ascii="Century Gothic" w:hAnsi="Century Gothic"/>
          <w:i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‘n</w:t>
      </w:r>
      <w:r w:rsidR="00491787" w:rsidRPr="008F2B78">
        <w:rPr>
          <w:rFonts w:ascii="Century Gothic" w:hAnsi="Century Gothic"/>
          <w:color w:val="000000"/>
          <w:sz w:val="20"/>
          <w:szCs w:val="20"/>
        </w:rPr>
        <w:t xml:space="preserve"> Verskaffer het markkrag as hy of sy die markprys kan ver</w:t>
      </w:r>
      <w:r w:rsidRPr="008F2B78">
        <w:rPr>
          <w:rFonts w:ascii="Century Gothic" w:hAnsi="Century Gothic"/>
          <w:color w:val="000000"/>
          <w:sz w:val="20"/>
          <w:szCs w:val="20"/>
        </w:rPr>
        <w:t>ander deur die hoeveelheid wat h</w:t>
      </w:r>
      <w:r w:rsidR="00491787" w:rsidRPr="008F2B78">
        <w:rPr>
          <w:rFonts w:ascii="Century Gothic" w:hAnsi="Century Gothic"/>
          <w:color w:val="000000"/>
          <w:sz w:val="20"/>
          <w:szCs w:val="20"/>
        </w:rPr>
        <w:t xml:space="preserve">y of sy </w:t>
      </w:r>
      <w:r w:rsidRPr="008F2B78">
        <w:rPr>
          <w:rFonts w:ascii="Century Gothic" w:hAnsi="Century Gothic"/>
          <w:color w:val="000000"/>
          <w:sz w:val="20"/>
          <w:szCs w:val="20"/>
        </w:rPr>
        <w:t>vra,</w:t>
      </w:r>
      <w:r w:rsidR="008F2B78">
        <w:rPr>
          <w:rFonts w:ascii="Century Gothic" w:hAnsi="Century Gothic"/>
          <w:color w:val="000000"/>
          <w:sz w:val="20"/>
          <w:szCs w:val="20"/>
        </w:rPr>
        <w:t xml:space="preserve"> te verander.</w:t>
      </w:r>
    </w:p>
    <w:p w:rsidR="005D0FF3" w:rsidRPr="008F2B78" w:rsidRDefault="00491787" w:rsidP="008F2B78">
      <w:pPr>
        <w:pStyle w:val="ListParagraph"/>
        <w:numPr>
          <w:ilvl w:val="1"/>
          <w:numId w:val="11"/>
        </w:numPr>
        <w:rPr>
          <w:rFonts w:ascii="Century Gothic" w:hAnsi="Century Gothic"/>
          <w:i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In onvolmaakte markte kry verbruikers die geleentheid om tussen verskillende variëteite van dieselfde produk te kies.</w:t>
      </w:r>
    </w:p>
    <w:p w:rsidR="005D0FF3" w:rsidRPr="00C34BB4" w:rsidRDefault="00491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C34BB4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8F2B78" w:rsidRPr="00344EDC" w:rsidRDefault="00491787" w:rsidP="008F2B7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i/>
          <w:color w:val="000000"/>
          <w:sz w:val="20"/>
          <w:szCs w:val="20"/>
        </w:rPr>
      </w:pPr>
      <w:r w:rsidRPr="00344EDC">
        <w:rPr>
          <w:rFonts w:ascii="Century Gothic" w:hAnsi="Century Gothic"/>
          <w:i/>
          <w:color w:val="000000"/>
          <w:sz w:val="20"/>
          <w:szCs w:val="20"/>
        </w:rPr>
        <w:t>Beantwoord die volgende vrae:</w:t>
      </w:r>
    </w:p>
    <w:p w:rsidR="008F2B78" w:rsidRDefault="00C34BB4" w:rsidP="00344ED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540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Beskryf</w:t>
      </w:r>
      <w:r w:rsidR="00491787" w:rsidRPr="008F2B78">
        <w:rPr>
          <w:rFonts w:ascii="Century Gothic" w:hAnsi="Century Gothic"/>
          <w:color w:val="000000"/>
          <w:sz w:val="20"/>
          <w:szCs w:val="20"/>
        </w:rPr>
        <w:t xml:space="preserve"> 'n perfekte mark en gee die vier voorwaardes vir </w:t>
      </w:r>
      <w:r w:rsidR="00E266CC">
        <w:rPr>
          <w:rFonts w:ascii="Century Gothic" w:hAnsi="Century Gothic"/>
          <w:color w:val="000000"/>
          <w:sz w:val="20"/>
          <w:szCs w:val="20"/>
        </w:rPr>
        <w:t xml:space="preserve">die bestaan van </w:t>
      </w:r>
      <w:r w:rsidR="00491787" w:rsidRPr="008F2B78">
        <w:rPr>
          <w:rFonts w:ascii="Century Gothic" w:hAnsi="Century Gothic"/>
          <w:color w:val="000000"/>
          <w:sz w:val="20"/>
          <w:szCs w:val="20"/>
        </w:rPr>
        <w:t>'n perfekte mark.</w:t>
      </w:r>
    </w:p>
    <w:p w:rsidR="008F2B78" w:rsidRDefault="00C34BB4" w:rsidP="00344ED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540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Beskryf</w:t>
      </w:r>
      <w:r w:rsidR="00491787" w:rsidRPr="008F2B78">
        <w:rPr>
          <w:rFonts w:ascii="Century Gothic" w:hAnsi="Century Gothic"/>
          <w:color w:val="000000"/>
          <w:sz w:val="20"/>
          <w:szCs w:val="20"/>
        </w:rPr>
        <w:t xml:space="preserve"> 'n onvolmaakte mark.</w:t>
      </w:r>
    </w:p>
    <w:p w:rsidR="008F2B78" w:rsidRDefault="00491787" w:rsidP="00344ED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540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 xml:space="preserve">Gee 'n uiteensetting van die belangrikste verskil tussen </w:t>
      </w:r>
      <w:r w:rsidR="00C34BB4" w:rsidRPr="008F2B78">
        <w:rPr>
          <w:rFonts w:ascii="Century Gothic" w:hAnsi="Century Gothic"/>
          <w:color w:val="000000"/>
          <w:sz w:val="20"/>
          <w:szCs w:val="20"/>
        </w:rPr>
        <w:t>volmaakte</w:t>
      </w:r>
      <w:r w:rsidRPr="008F2B78">
        <w:rPr>
          <w:rFonts w:ascii="Century Gothic" w:hAnsi="Century Gothic"/>
          <w:color w:val="000000"/>
          <w:sz w:val="20"/>
          <w:szCs w:val="20"/>
        </w:rPr>
        <w:t xml:space="preserve"> mededinging en monopolistiese mededinging. Gee 'n voorbeeld om </w:t>
      </w:r>
      <w:r w:rsidR="00C34BB4" w:rsidRPr="008F2B78">
        <w:rPr>
          <w:rFonts w:ascii="Century Gothic" w:hAnsi="Century Gothic"/>
          <w:color w:val="000000"/>
          <w:sz w:val="20"/>
          <w:szCs w:val="20"/>
        </w:rPr>
        <w:t>jo</w:t>
      </w:r>
      <w:r w:rsidRPr="008F2B78">
        <w:rPr>
          <w:rFonts w:ascii="Century Gothic" w:hAnsi="Century Gothic"/>
          <w:color w:val="000000"/>
          <w:sz w:val="20"/>
          <w:szCs w:val="20"/>
        </w:rPr>
        <w:t xml:space="preserve">u antwoord te </w:t>
      </w:r>
      <w:r w:rsidR="00C34BB4" w:rsidRPr="008F2B78">
        <w:rPr>
          <w:rFonts w:ascii="Century Gothic" w:hAnsi="Century Gothic"/>
          <w:color w:val="000000"/>
          <w:sz w:val="20"/>
          <w:szCs w:val="20"/>
        </w:rPr>
        <w:t>ï</w:t>
      </w:r>
      <w:r w:rsidRPr="008F2B78">
        <w:rPr>
          <w:rFonts w:ascii="Century Gothic" w:hAnsi="Century Gothic"/>
          <w:color w:val="000000"/>
          <w:sz w:val="20"/>
          <w:szCs w:val="20"/>
        </w:rPr>
        <w:t>llustreer.</w:t>
      </w:r>
    </w:p>
    <w:p w:rsidR="008F2B78" w:rsidRDefault="00491787" w:rsidP="00344ED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540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 xml:space="preserve">Oligopolistiese firmas is onderling afhanklik. Verduidelik die betekenis van die term </w:t>
      </w:r>
      <w:r w:rsidR="003565B0" w:rsidRPr="008F2B78">
        <w:rPr>
          <w:rFonts w:ascii="Century Gothic" w:hAnsi="Century Gothic"/>
          <w:color w:val="000000"/>
          <w:sz w:val="20"/>
          <w:szCs w:val="20"/>
        </w:rPr>
        <w:t>‘onderling afhanklik’</w:t>
      </w:r>
      <w:r w:rsidRPr="008F2B78">
        <w:rPr>
          <w:rFonts w:ascii="Century Gothic" w:hAnsi="Century Gothic"/>
          <w:color w:val="000000"/>
          <w:sz w:val="20"/>
          <w:szCs w:val="20"/>
        </w:rPr>
        <w:t>.</w:t>
      </w:r>
    </w:p>
    <w:p w:rsidR="008F2B78" w:rsidRDefault="00491787" w:rsidP="00344ED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540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Definieer 'n kartel en gee 'n Suid-Afrikaanse voorbeeld.</w:t>
      </w:r>
    </w:p>
    <w:p w:rsidR="008F2B78" w:rsidRDefault="00491787" w:rsidP="00344ED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540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Noem twee markte in Suid-Afrika waar daar baie verkopers is.</w:t>
      </w:r>
    </w:p>
    <w:p w:rsidR="008F2B78" w:rsidRDefault="00491787" w:rsidP="00344ED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540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Identifiseer twee markte in Suid-Afrika waar al die eenhede van die produk identies aan mekaar is.</w:t>
      </w:r>
    </w:p>
    <w:p w:rsidR="008F2B78" w:rsidRDefault="00491787" w:rsidP="00344ED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540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 xml:space="preserve">Identifiseer twee markte in Suid-Afrika waar daar baie </w:t>
      </w:r>
      <w:r w:rsidR="003565B0" w:rsidRPr="008F2B78">
        <w:rPr>
          <w:rFonts w:ascii="Century Gothic" w:hAnsi="Century Gothic"/>
          <w:color w:val="000000"/>
          <w:sz w:val="20"/>
          <w:szCs w:val="20"/>
        </w:rPr>
        <w:t>min toetredebeperking</w:t>
      </w:r>
      <w:r w:rsidRPr="008F2B78">
        <w:rPr>
          <w:rFonts w:ascii="Century Gothic" w:hAnsi="Century Gothic"/>
          <w:color w:val="000000"/>
          <w:sz w:val="20"/>
          <w:szCs w:val="20"/>
        </w:rPr>
        <w:t>s is.</w:t>
      </w:r>
    </w:p>
    <w:p w:rsidR="008F2B78" w:rsidRDefault="00491787" w:rsidP="00344ED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540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Identifiseer twee oligopoliemarkte in Suid-Afrika waarin die bestaande ondernemings aansienlike markkrag het.</w:t>
      </w:r>
    </w:p>
    <w:p w:rsidR="00A44444" w:rsidRDefault="00491787" w:rsidP="00A44444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8F2B78">
        <w:rPr>
          <w:rFonts w:ascii="Century Gothic" w:hAnsi="Century Gothic"/>
          <w:color w:val="000000"/>
          <w:sz w:val="20"/>
          <w:szCs w:val="20"/>
        </w:rPr>
        <w:t>Gee drie voorbeelde van die handelsbelemmerings wat ondernemings in onvolmaakte mededingende markte gebruik.</w:t>
      </w:r>
    </w:p>
    <w:p w:rsidR="00A44444" w:rsidRDefault="00A44444" w:rsidP="00A4444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:rsidR="005D0FF3" w:rsidRPr="00A44444" w:rsidRDefault="00491787" w:rsidP="00A4444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A44444">
        <w:rPr>
          <w:rFonts w:ascii="Century Gothic" w:hAnsi="Century Gothic"/>
          <w:color w:val="000000"/>
          <w:sz w:val="20"/>
          <w:szCs w:val="20"/>
        </w:rPr>
        <w:t xml:space="preserve">Doen navorsing en bepaal of dit wettig is vir Suid-Afrikaanse firmas om met mekaar saam te </w:t>
      </w:r>
      <w:r w:rsidR="003565B0" w:rsidRPr="00A44444">
        <w:rPr>
          <w:rFonts w:ascii="Century Gothic" w:hAnsi="Century Gothic"/>
          <w:color w:val="000000"/>
          <w:sz w:val="20"/>
          <w:szCs w:val="20"/>
        </w:rPr>
        <w:t>span</w:t>
      </w:r>
      <w:r w:rsidRPr="00A44444">
        <w:rPr>
          <w:rFonts w:ascii="Century Gothic" w:hAnsi="Century Gothic"/>
          <w:color w:val="000000"/>
          <w:sz w:val="20"/>
          <w:szCs w:val="20"/>
        </w:rPr>
        <w:t xml:space="preserve"> om pryse vas te stel. Gee bewyse ter stawing van </w:t>
      </w:r>
      <w:r w:rsidR="003565B0" w:rsidRPr="00A44444">
        <w:rPr>
          <w:rFonts w:ascii="Century Gothic" w:hAnsi="Century Gothic"/>
          <w:color w:val="000000"/>
          <w:sz w:val="20"/>
          <w:szCs w:val="20"/>
        </w:rPr>
        <w:t>jo</w:t>
      </w:r>
      <w:r w:rsidR="00A44444" w:rsidRPr="00A44444">
        <w:rPr>
          <w:rFonts w:ascii="Century Gothic" w:hAnsi="Century Gothic"/>
          <w:color w:val="000000"/>
          <w:sz w:val="20"/>
          <w:szCs w:val="20"/>
        </w:rPr>
        <w:t xml:space="preserve">u antwoord.  </w:t>
      </w:r>
      <w:r w:rsidRPr="00A44444">
        <w:rPr>
          <w:rFonts w:ascii="Century Gothic" w:hAnsi="Century Gothic"/>
          <w:color w:val="000000"/>
          <w:sz w:val="20"/>
          <w:szCs w:val="20"/>
        </w:rPr>
        <w:t xml:space="preserve">Watter gevolge hou </w:t>
      </w:r>
      <w:r w:rsidR="00A44444" w:rsidRPr="00A44444">
        <w:rPr>
          <w:rFonts w:ascii="Century Gothic" w:hAnsi="Century Gothic"/>
          <w:color w:val="000000"/>
          <w:sz w:val="20"/>
          <w:szCs w:val="20"/>
        </w:rPr>
        <w:t>dit vir hierdie ondernemings in</w:t>
      </w:r>
      <w:r w:rsidRPr="00A44444">
        <w:rPr>
          <w:rFonts w:ascii="Century Gothic" w:hAnsi="Century Gothic"/>
          <w:color w:val="000000"/>
          <w:sz w:val="20"/>
          <w:szCs w:val="20"/>
        </w:rPr>
        <w:t xml:space="preserve"> as dit blyk dat hulle saams</w:t>
      </w:r>
      <w:r w:rsidR="003565B0" w:rsidRPr="00A44444">
        <w:rPr>
          <w:rFonts w:ascii="Century Gothic" w:hAnsi="Century Gothic"/>
          <w:color w:val="000000"/>
          <w:sz w:val="20"/>
          <w:szCs w:val="20"/>
        </w:rPr>
        <w:t>pan</w:t>
      </w:r>
      <w:r w:rsidRPr="00A44444">
        <w:rPr>
          <w:rFonts w:ascii="Century Gothic" w:hAnsi="Century Gothic"/>
          <w:color w:val="000000"/>
          <w:sz w:val="20"/>
          <w:szCs w:val="20"/>
        </w:rPr>
        <w:t xml:space="preserve">? </w:t>
      </w:r>
    </w:p>
    <w:p w:rsidR="005D0FF3" w:rsidRPr="00C34BB4" w:rsidRDefault="005D0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:rsidR="00A44444" w:rsidRDefault="00491787" w:rsidP="00A4444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A44444">
        <w:rPr>
          <w:rFonts w:ascii="Century Gothic" w:hAnsi="Century Gothic"/>
          <w:color w:val="000000"/>
          <w:sz w:val="20"/>
          <w:szCs w:val="20"/>
        </w:rPr>
        <w:t>Tabuleer d</w:t>
      </w:r>
      <w:r w:rsidR="00A44444" w:rsidRPr="00A44444">
        <w:rPr>
          <w:rFonts w:ascii="Century Gothic" w:hAnsi="Century Gothic"/>
          <w:color w:val="000000"/>
          <w:sz w:val="20"/>
          <w:szCs w:val="20"/>
        </w:rPr>
        <w:t>r</w:t>
      </w:r>
      <w:r w:rsidRPr="00A44444">
        <w:rPr>
          <w:rFonts w:ascii="Century Gothic" w:hAnsi="Century Gothic"/>
          <w:color w:val="000000"/>
          <w:sz w:val="20"/>
          <w:szCs w:val="20"/>
        </w:rPr>
        <w:t xml:space="preserve">ie voordele van </w:t>
      </w:r>
      <w:r w:rsidR="00E266CC">
        <w:rPr>
          <w:rFonts w:ascii="Century Gothic" w:hAnsi="Century Gothic"/>
          <w:color w:val="000000"/>
          <w:sz w:val="20"/>
          <w:szCs w:val="20"/>
        </w:rPr>
        <w:t xml:space="preserve">beide </w:t>
      </w:r>
      <w:r w:rsidRPr="00A44444">
        <w:rPr>
          <w:rFonts w:ascii="Century Gothic" w:hAnsi="Century Gothic"/>
          <w:color w:val="000000"/>
          <w:sz w:val="20"/>
          <w:szCs w:val="20"/>
        </w:rPr>
        <w:t>volmaakte mededinging en die monopolie.</w:t>
      </w:r>
    </w:p>
    <w:p w:rsidR="00A44444" w:rsidRPr="00A44444" w:rsidRDefault="00A44444" w:rsidP="00A44444">
      <w:pPr>
        <w:pStyle w:val="ListParagraph"/>
        <w:rPr>
          <w:rFonts w:ascii="Century Gothic" w:hAnsi="Century Gothic"/>
          <w:color w:val="000000"/>
          <w:sz w:val="20"/>
          <w:szCs w:val="20"/>
        </w:rPr>
      </w:pPr>
    </w:p>
    <w:p w:rsidR="00B438A5" w:rsidRPr="00B438A5" w:rsidRDefault="00491787" w:rsidP="00A4444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i/>
          <w:color w:val="000000"/>
          <w:sz w:val="20"/>
          <w:szCs w:val="20"/>
        </w:rPr>
      </w:pPr>
      <w:r w:rsidRPr="00A44444">
        <w:rPr>
          <w:rFonts w:ascii="Century Gothic" w:hAnsi="Century Gothic"/>
          <w:color w:val="000000"/>
          <w:sz w:val="20"/>
          <w:szCs w:val="20"/>
        </w:rPr>
        <w:t xml:space="preserve">Klassifiseer die markstrukture in volmaakte en onvolmaakte markte onder die volgende opskrifte: </w:t>
      </w:r>
    </w:p>
    <w:p w:rsidR="005D0FF3" w:rsidRPr="00B438A5" w:rsidRDefault="00491787" w:rsidP="00B43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entury Gothic" w:hAnsi="Century Gothic"/>
          <w:i/>
          <w:color w:val="000000"/>
          <w:sz w:val="20"/>
          <w:szCs w:val="20"/>
        </w:rPr>
      </w:pPr>
      <w:r w:rsidRPr="00B438A5">
        <w:rPr>
          <w:rFonts w:ascii="Century Gothic" w:hAnsi="Century Gothic"/>
          <w:color w:val="000000"/>
          <w:sz w:val="20"/>
          <w:szCs w:val="20"/>
        </w:rPr>
        <w:t>(</w:t>
      </w:r>
      <w:r w:rsidRPr="00B438A5">
        <w:rPr>
          <w:rFonts w:ascii="Century Gothic" w:hAnsi="Century Gothic"/>
          <w:i/>
          <w:color w:val="000000"/>
          <w:sz w:val="20"/>
          <w:szCs w:val="20"/>
        </w:rPr>
        <w:t xml:space="preserve">Identifiseer waarom dit in een van die </w:t>
      </w:r>
      <w:r w:rsidR="00B438A5">
        <w:rPr>
          <w:rFonts w:ascii="Century Gothic" w:hAnsi="Century Gothic"/>
          <w:i/>
          <w:color w:val="000000"/>
          <w:sz w:val="20"/>
          <w:szCs w:val="20"/>
        </w:rPr>
        <w:t>k</w:t>
      </w:r>
      <w:r w:rsidRPr="00A44444">
        <w:rPr>
          <w:rFonts w:ascii="Century Gothic" w:hAnsi="Century Gothic"/>
          <w:i/>
          <w:color w:val="000000"/>
          <w:sz w:val="20"/>
          <w:szCs w:val="20"/>
        </w:rPr>
        <w:t>ategorieë sal inpas</w:t>
      </w:r>
      <w:r w:rsidRPr="00C34BB4">
        <w:rPr>
          <w:rFonts w:ascii="Century Gothic" w:hAnsi="Century Gothic"/>
          <w:color w:val="000000"/>
          <w:sz w:val="20"/>
          <w:szCs w:val="20"/>
        </w:rPr>
        <w:t>)</w:t>
      </w:r>
      <w:r w:rsidR="00A44444">
        <w:rPr>
          <w:rFonts w:ascii="Century Gothic" w:hAnsi="Century Gothic"/>
          <w:color w:val="000000"/>
          <w:sz w:val="20"/>
          <w:szCs w:val="20"/>
        </w:rPr>
        <w:t>.</w:t>
      </w:r>
    </w:p>
    <w:p w:rsidR="005D0FF3" w:rsidRPr="00E266CC" w:rsidRDefault="00491787" w:rsidP="00E266C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E266CC">
        <w:rPr>
          <w:rFonts w:ascii="Century Gothic" w:hAnsi="Century Gothic"/>
          <w:color w:val="000000"/>
          <w:sz w:val="20"/>
          <w:szCs w:val="20"/>
        </w:rPr>
        <w:t>Aantal firmas</w:t>
      </w:r>
    </w:p>
    <w:p w:rsidR="005D0FF3" w:rsidRPr="00E266CC" w:rsidRDefault="00491787" w:rsidP="00E266C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E266CC">
        <w:rPr>
          <w:rFonts w:ascii="Century Gothic" w:hAnsi="Century Gothic"/>
          <w:color w:val="000000"/>
          <w:sz w:val="20"/>
          <w:szCs w:val="20"/>
        </w:rPr>
        <w:t>Aard van die produk</w:t>
      </w:r>
    </w:p>
    <w:p w:rsidR="005D0FF3" w:rsidRPr="00E266CC" w:rsidRDefault="003565B0" w:rsidP="00E266C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E266CC">
        <w:rPr>
          <w:rFonts w:ascii="Century Gothic" w:hAnsi="Century Gothic"/>
          <w:color w:val="000000"/>
          <w:sz w:val="20"/>
          <w:szCs w:val="20"/>
        </w:rPr>
        <w:t>Toetredebesperkings</w:t>
      </w:r>
    </w:p>
    <w:p w:rsidR="00B438A5" w:rsidRDefault="00491787" w:rsidP="00B438A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B438A5">
        <w:rPr>
          <w:rFonts w:ascii="Century Gothic" w:hAnsi="Century Gothic"/>
          <w:color w:val="000000"/>
          <w:sz w:val="20"/>
          <w:szCs w:val="20"/>
        </w:rPr>
        <w:t xml:space="preserve">Samespanning </w:t>
      </w:r>
    </w:p>
    <w:p w:rsidR="005D0FF3" w:rsidRPr="00B438A5" w:rsidRDefault="00491787" w:rsidP="00B438A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B438A5">
        <w:rPr>
          <w:rFonts w:ascii="Century Gothic" w:hAnsi="Century Gothic"/>
          <w:color w:val="000000"/>
          <w:sz w:val="20"/>
          <w:szCs w:val="20"/>
        </w:rPr>
        <w:t>Beheer oor prys</w:t>
      </w:r>
    </w:p>
    <w:sectPr w:rsidR="005D0FF3" w:rsidRPr="00B438A5">
      <w:headerReference w:type="default" r:id="rId9"/>
      <w:footerReference w:type="default" r:id="rId10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82C" w:rsidRDefault="0094482C">
      <w:pPr>
        <w:spacing w:after="0" w:line="240" w:lineRule="auto"/>
      </w:pPr>
      <w:r>
        <w:separator/>
      </w:r>
    </w:p>
  </w:endnote>
  <w:endnote w:type="continuationSeparator" w:id="0">
    <w:p w:rsidR="0094482C" w:rsidRDefault="0094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2312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5AD6" w:rsidRDefault="00935AD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35AD6">
          <w:rPr>
            <w:rFonts w:ascii="Century Gothic" w:hAnsi="Century Gothic"/>
            <w:sz w:val="18"/>
          </w:rPr>
          <w:fldChar w:fldCharType="begin"/>
        </w:r>
        <w:r w:rsidRPr="00935AD6">
          <w:rPr>
            <w:rFonts w:ascii="Century Gothic" w:hAnsi="Century Gothic"/>
            <w:sz w:val="18"/>
          </w:rPr>
          <w:instrText xml:space="preserve"> PAGE   \* MERGEFORMAT </w:instrText>
        </w:r>
        <w:r w:rsidRPr="00935AD6">
          <w:rPr>
            <w:rFonts w:ascii="Century Gothic" w:hAnsi="Century Gothic"/>
            <w:sz w:val="18"/>
          </w:rPr>
          <w:fldChar w:fldCharType="separate"/>
        </w:r>
        <w:r w:rsidR="000C280A" w:rsidRPr="000C280A">
          <w:rPr>
            <w:rFonts w:ascii="Century Gothic" w:hAnsi="Century Gothic"/>
            <w:b/>
            <w:bCs/>
            <w:noProof/>
            <w:sz w:val="18"/>
          </w:rPr>
          <w:t>3</w:t>
        </w:r>
        <w:r w:rsidRPr="00935AD6">
          <w:rPr>
            <w:rFonts w:ascii="Century Gothic" w:hAnsi="Century Gothic"/>
            <w:b/>
            <w:bCs/>
            <w:noProof/>
            <w:sz w:val="18"/>
          </w:rPr>
          <w:fldChar w:fldCharType="end"/>
        </w:r>
        <w:r>
          <w:rPr>
            <w:b/>
            <w:bCs/>
          </w:rPr>
          <w:t xml:space="preserve"> | </w:t>
        </w:r>
        <w:r w:rsidRPr="00935AD6">
          <w:rPr>
            <w:rFonts w:ascii="Century Gothic" w:hAnsi="Century Gothic"/>
            <w:color w:val="7F7F7F" w:themeColor="background1" w:themeShade="7F"/>
            <w:spacing w:val="60"/>
            <w:sz w:val="18"/>
          </w:rPr>
          <w:t>Bladsy</w:t>
        </w:r>
      </w:p>
    </w:sdtContent>
  </w:sdt>
  <w:p w:rsidR="00935AD6" w:rsidRDefault="00935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82C" w:rsidRDefault="0094482C">
      <w:pPr>
        <w:spacing w:after="0" w:line="240" w:lineRule="auto"/>
      </w:pPr>
      <w:r>
        <w:separator/>
      </w:r>
    </w:p>
  </w:footnote>
  <w:footnote w:type="continuationSeparator" w:id="0">
    <w:p w:rsidR="0094482C" w:rsidRDefault="0094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F3" w:rsidRDefault="00491787">
    <w:pPr>
      <w:pBdr>
        <w:top w:val="nil"/>
        <w:left w:val="nil"/>
        <w:bottom w:val="nil"/>
        <w:right w:val="nil"/>
        <w:between w:val="nil"/>
      </w:pBdr>
      <w:tabs>
        <w:tab w:val="left" w:pos="5820"/>
      </w:tabs>
      <w:spacing w:after="0" w:line="240" w:lineRule="auto"/>
      <w:jc w:val="right"/>
      <w:rPr>
        <w:rFonts w:ascii="Century Gothic" w:eastAsia="Century Gothic" w:hAnsi="Century Gothic" w:cs="Century Gothic"/>
        <w:color w:val="000090"/>
        <w:sz w:val="24"/>
        <w:szCs w:val="24"/>
      </w:rPr>
    </w:pPr>
    <w:r>
      <w:rPr>
        <w:rFonts w:ascii="Century Gothic" w:eastAsia="Century Gothic" w:hAnsi="Century Gothic" w:cs="Century Gothic"/>
        <w:color w:val="000090"/>
        <w:sz w:val="24"/>
        <w:szCs w:val="24"/>
      </w:rPr>
      <w:t>Direktoraat: Kurrikulum VOO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10795</wp:posOffset>
          </wp:positionV>
          <wp:extent cx="2447290" cy="76073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290" cy="760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0FF3" w:rsidRDefault="005D0FF3">
    <w:pPr>
      <w:pBdr>
        <w:top w:val="nil"/>
        <w:left w:val="nil"/>
        <w:bottom w:val="nil"/>
        <w:right w:val="nil"/>
        <w:between w:val="nil"/>
      </w:pBdr>
      <w:tabs>
        <w:tab w:val="left" w:pos="5820"/>
      </w:tabs>
      <w:spacing w:after="0" w:line="276" w:lineRule="auto"/>
      <w:jc w:val="center"/>
      <w:rPr>
        <w:color w:val="000000"/>
      </w:rPr>
    </w:pPr>
  </w:p>
  <w:p w:rsidR="005D0FF3" w:rsidRDefault="005D0FF3">
    <w:pPr>
      <w:pBdr>
        <w:top w:val="nil"/>
        <w:left w:val="nil"/>
        <w:bottom w:val="nil"/>
        <w:right w:val="nil"/>
        <w:between w:val="nil"/>
      </w:pBdr>
      <w:tabs>
        <w:tab w:val="left" w:pos="5820"/>
      </w:tabs>
      <w:spacing w:after="0" w:line="276" w:lineRule="auto"/>
      <w:jc w:val="center"/>
      <w:rPr>
        <w:rFonts w:ascii="Century Gothic" w:eastAsia="Century Gothic" w:hAnsi="Century Gothic" w:cs="Century Gothic"/>
        <w:color w:val="000090"/>
        <w:sz w:val="24"/>
        <w:szCs w:val="24"/>
      </w:rPr>
    </w:pPr>
  </w:p>
  <w:p w:rsidR="005D0FF3" w:rsidRDefault="00491787">
    <w:pPr>
      <w:pBdr>
        <w:top w:val="nil"/>
        <w:left w:val="nil"/>
        <w:bottom w:val="nil"/>
        <w:right w:val="nil"/>
        <w:between w:val="nil"/>
      </w:pBdr>
      <w:tabs>
        <w:tab w:val="left" w:pos="5820"/>
        <w:tab w:val="left" w:pos="1261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457200</wp:posOffset>
          </wp:positionH>
          <wp:positionV relativeFrom="paragraph">
            <wp:posOffset>104594</wp:posOffset>
          </wp:positionV>
          <wp:extent cx="8125053" cy="188978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5053" cy="1889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0FF3" w:rsidRDefault="005D0FF3">
    <w:pPr>
      <w:pBdr>
        <w:top w:val="nil"/>
        <w:left w:val="nil"/>
        <w:bottom w:val="nil"/>
        <w:right w:val="nil"/>
        <w:between w:val="nil"/>
      </w:pBdr>
      <w:tabs>
        <w:tab w:val="left" w:pos="582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456"/>
    <w:multiLevelType w:val="hybridMultilevel"/>
    <w:tmpl w:val="98FA4906"/>
    <w:lvl w:ilvl="0" w:tplc="0B82C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245D1"/>
    <w:multiLevelType w:val="multilevel"/>
    <w:tmpl w:val="2916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7D3"/>
    <w:multiLevelType w:val="multilevel"/>
    <w:tmpl w:val="5FA6D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  <w:color w:val="000000"/>
      </w:rPr>
    </w:lvl>
  </w:abstractNum>
  <w:abstractNum w:abstractNumId="3" w15:restartNumberingAfterBreak="0">
    <w:nsid w:val="25AD0F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E50A68"/>
    <w:multiLevelType w:val="multilevel"/>
    <w:tmpl w:val="D4F2C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FF519A"/>
    <w:multiLevelType w:val="hybridMultilevel"/>
    <w:tmpl w:val="7C8E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01410"/>
    <w:multiLevelType w:val="hybridMultilevel"/>
    <w:tmpl w:val="9E78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6DB1"/>
    <w:multiLevelType w:val="hybridMultilevel"/>
    <w:tmpl w:val="F1FA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5183D"/>
    <w:multiLevelType w:val="multilevel"/>
    <w:tmpl w:val="07162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E66EA"/>
    <w:multiLevelType w:val="hybridMultilevel"/>
    <w:tmpl w:val="F83C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2682"/>
    <w:multiLevelType w:val="hybridMultilevel"/>
    <w:tmpl w:val="283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31627"/>
    <w:multiLevelType w:val="hybridMultilevel"/>
    <w:tmpl w:val="2086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F3"/>
    <w:rsid w:val="00016716"/>
    <w:rsid w:val="00026944"/>
    <w:rsid w:val="000C280A"/>
    <w:rsid w:val="001001D3"/>
    <w:rsid w:val="00197B4D"/>
    <w:rsid w:val="00344EDC"/>
    <w:rsid w:val="003565B0"/>
    <w:rsid w:val="003E0EA5"/>
    <w:rsid w:val="00491787"/>
    <w:rsid w:val="004D0FB9"/>
    <w:rsid w:val="005D0FF3"/>
    <w:rsid w:val="00717685"/>
    <w:rsid w:val="007655B5"/>
    <w:rsid w:val="00867AFE"/>
    <w:rsid w:val="008F2B78"/>
    <w:rsid w:val="00935AD6"/>
    <w:rsid w:val="0094482C"/>
    <w:rsid w:val="00A44444"/>
    <w:rsid w:val="00AD3002"/>
    <w:rsid w:val="00B438A5"/>
    <w:rsid w:val="00B47B3F"/>
    <w:rsid w:val="00BF43E4"/>
    <w:rsid w:val="00C34BB4"/>
    <w:rsid w:val="00D828A4"/>
    <w:rsid w:val="00E266CC"/>
    <w:rsid w:val="00E64843"/>
    <w:rsid w:val="00FB72CE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A625"/>
  <w15:docId w15:val="{0B51A354-FD2C-4FCA-82E6-B942F31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a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3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BB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34B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7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AD6"/>
  </w:style>
  <w:style w:type="paragraph" w:styleId="Footer">
    <w:name w:val="footer"/>
    <w:basedOn w:val="Normal"/>
    <w:link w:val="FooterChar"/>
    <w:uiPriority w:val="99"/>
    <w:unhideWhenUsed/>
    <w:rsid w:val="00935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it.ly/Gr11_Kwartaal2_Konsep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Lucinda H Erasmus</dc:creator>
  <cp:lastModifiedBy>Thando Sikiti</cp:lastModifiedBy>
  <cp:revision>2</cp:revision>
  <dcterms:created xsi:type="dcterms:W3CDTF">2020-04-09T12:18:00Z</dcterms:created>
  <dcterms:modified xsi:type="dcterms:W3CDTF">2020-04-09T12:18:00Z</dcterms:modified>
</cp:coreProperties>
</file>